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732" w:rsidRPr="00581499" w:rsidDel="00CD1B7C" w:rsidRDefault="00B10732" w:rsidP="00B10732">
      <w:pPr>
        <w:pStyle w:val="Heading1"/>
        <w:jc w:val="both"/>
        <w:rPr>
          <w:b w:val="0"/>
        </w:rPr>
      </w:pPr>
      <w:bookmarkStart w:id="0" w:name="_Toc143821573"/>
      <w:bookmarkStart w:id="1" w:name="_GoBack"/>
      <w:bookmarkEnd w:id="1"/>
      <w:r w:rsidRPr="00581499">
        <w:rPr>
          <w:rFonts w:eastAsia="Times"/>
          <w:bCs/>
          <w:sz w:val="24"/>
          <w:szCs w:val="24"/>
          <w:lang w:eastAsia="zh-CN"/>
        </w:rPr>
        <w:t>XÉT NGHIỆM HbA1C</w:t>
      </w:r>
      <w:r w:rsidRPr="00581499">
        <w:rPr>
          <w:rFonts w:eastAsia="Times"/>
          <w:lang w:eastAsia="zh-CN"/>
        </w:rPr>
        <w:t xml:space="preserve">, </w:t>
      </w:r>
      <w:r w:rsidRPr="00581499">
        <w:rPr>
          <w:rFonts w:eastAsia="Times"/>
          <w:b w:val="0"/>
          <w:bCs/>
          <w:lang w:eastAsia="zh-CN"/>
        </w:rPr>
        <w:t>định lượng huyết sắc tố glycosyl hóa (HbA1C), một xét nghiệm chỉ ra có bao nhiêu đường trong máu của một người trong vòng hai đến bốn tháng qua, được sử dụng để theo dõi hiệu quả điều trị bệnh đái tháo đường.</w:t>
      </w:r>
      <w:bookmarkEnd w:id="0"/>
    </w:p>
    <w:p w:rsidR="00B10732" w:rsidRPr="008B25B4" w:rsidRDefault="00B10732" w:rsidP="00B10732">
      <w:pPr>
        <w:spacing w:before="120" w:after="0"/>
        <w:ind w:firstLine="567"/>
        <w:rPr>
          <w:rFonts w:eastAsia="Times"/>
          <w:sz w:val="28"/>
          <w:szCs w:val="28"/>
          <w:lang w:val="es-ES"/>
        </w:rPr>
      </w:pPr>
      <w:r w:rsidRPr="008B25B4">
        <w:rPr>
          <w:rFonts w:eastAsia="Times"/>
          <w:sz w:val="28"/>
          <w:szCs w:val="28"/>
          <w:lang w:val="es-ES" w:eastAsia="zh-CN"/>
        </w:rPr>
        <w:t>Bệnh đái tháo đường là bệnh lý mà cơ thể không thể sử dụng glucose trong máu hiệu quả so với nhu cầu của cơ thể. Nó được gây ra bởi tình trạng thiếu hụt hormon insulin. Không được điều trị, lượng đường trong máu có thể rất cao. Lượng đường cao tăng nguy cơ biến chứng, như tổn thương mắt, thận, tim, thần kinh, mạch máu và các cơ quan khác.</w:t>
      </w:r>
    </w:p>
    <w:p w:rsidR="00B10732" w:rsidRPr="008B25B4" w:rsidRDefault="00B10732" w:rsidP="00B10732">
      <w:pPr>
        <w:spacing w:before="120" w:after="0"/>
        <w:ind w:firstLine="567"/>
        <w:rPr>
          <w:rFonts w:eastAsia="Times"/>
          <w:sz w:val="28"/>
          <w:szCs w:val="28"/>
          <w:lang w:val="es-ES" w:eastAsia="zh-CN"/>
        </w:rPr>
      </w:pPr>
      <w:r w:rsidRPr="008B25B4">
        <w:rPr>
          <w:rFonts w:eastAsia="Times"/>
          <w:sz w:val="28"/>
          <w:szCs w:val="28"/>
          <w:lang w:val="es-ES" w:eastAsia="zh-CN"/>
        </w:rPr>
        <w:t>Xét nghiệm glycosylated hemoglobin cho biết mức độ gần với mức bình thường của đường máu trong nhiều tháng qua. Thông tin này giúp bác sĩ:</w:t>
      </w:r>
      <w:r w:rsidRPr="00581499">
        <w:rPr>
          <w:rFonts w:eastAsia="Times"/>
          <w:sz w:val="28"/>
          <w:szCs w:val="28"/>
          <w:lang w:val="vi-VN" w:eastAsia="zh-CN"/>
        </w:rPr>
        <w:t xml:space="preserve"> (1) </w:t>
      </w:r>
      <w:r w:rsidRPr="008B25B4">
        <w:rPr>
          <w:rFonts w:eastAsia="Times"/>
          <w:sz w:val="28"/>
          <w:szCs w:val="28"/>
          <w:lang w:val="es-ES" w:eastAsia="zh-CN"/>
        </w:rPr>
        <w:t>Đánh giá bệnh nhân đáp ứng với điều trị đái tháo đường mức độ nào</w:t>
      </w:r>
      <w:r w:rsidRPr="00581499">
        <w:rPr>
          <w:rFonts w:eastAsia="Times"/>
          <w:sz w:val="28"/>
          <w:szCs w:val="28"/>
          <w:lang w:val="vi-VN" w:eastAsia="zh-CN"/>
        </w:rPr>
        <w:t xml:space="preserve">; (2) </w:t>
      </w:r>
      <w:r w:rsidRPr="008B25B4">
        <w:rPr>
          <w:rFonts w:eastAsia="Times"/>
          <w:sz w:val="28"/>
          <w:szCs w:val="28"/>
          <w:lang w:val="es-ES" w:eastAsia="zh-CN"/>
        </w:rPr>
        <w:t>Xác định mức độ đường đã cao trong một người mới được chẩn đoán mắc bệnh đái tháo đường.</w:t>
      </w:r>
    </w:p>
    <w:p w:rsidR="00B10732" w:rsidRPr="008B25B4" w:rsidRDefault="00B10732" w:rsidP="00B10732">
      <w:pPr>
        <w:spacing w:before="120" w:after="0"/>
        <w:ind w:firstLine="567"/>
        <w:rPr>
          <w:rFonts w:eastAsia="Times"/>
          <w:sz w:val="28"/>
          <w:szCs w:val="28"/>
          <w:lang w:val="es-ES"/>
        </w:rPr>
      </w:pPr>
      <w:r w:rsidRPr="008B25B4">
        <w:rPr>
          <w:rFonts w:eastAsia="Times"/>
          <w:sz w:val="28"/>
          <w:szCs w:val="28"/>
          <w:lang w:val="es-ES" w:eastAsia="zh-CN"/>
        </w:rPr>
        <w:t>Ngoài ra, HbA1C cho phép chẩn đoán tiền đái tháo đường, từ đây có biện pháp can thiệp sớm, ngăn cản tiến triển thành đái tháo đường.</w:t>
      </w:r>
    </w:p>
    <w:p w:rsidR="00B10732" w:rsidRPr="008B25B4" w:rsidRDefault="00B10732" w:rsidP="00B10732">
      <w:pPr>
        <w:spacing w:before="120" w:after="0"/>
        <w:ind w:firstLine="567"/>
        <w:rPr>
          <w:rFonts w:eastAsia="Times"/>
          <w:sz w:val="28"/>
          <w:szCs w:val="28"/>
          <w:lang w:val="es-ES" w:eastAsia="zh-CN"/>
        </w:rPr>
      </w:pPr>
      <w:r w:rsidRPr="008B25B4">
        <w:rPr>
          <w:rFonts w:eastAsia="Times"/>
          <w:sz w:val="28"/>
          <w:szCs w:val="28"/>
          <w:lang w:val="es-ES" w:eastAsia="zh-CN"/>
        </w:rPr>
        <w:t xml:space="preserve">Glucose kết hợp với hemoglobin (Hb) liên tục và gần như không hồi phục trong suốt đời sống của hồng cầu. Khi nồng độ glucose máu tăng cao hơn mức bình thường trong thời gian đủ dài, glucose sẽ phản ứng với Hb mà không cần sự xúc tác của enzym. Phản ứng </w:t>
      </w:r>
      <w:r w:rsidR="009826E8">
        <w:rPr>
          <w:rFonts w:eastAsia="Times"/>
          <w:sz w:val="28"/>
          <w:szCs w:val="28"/>
          <w:lang w:val="es-ES" w:eastAsia="zh-CN"/>
        </w:rPr>
        <w:t>xảy</w:t>
      </w:r>
      <w:r w:rsidRPr="008B25B4">
        <w:rPr>
          <w:rFonts w:eastAsia="Times"/>
          <w:sz w:val="28"/>
          <w:szCs w:val="28"/>
          <w:lang w:val="es-ES" w:eastAsia="zh-CN"/>
        </w:rPr>
        <w:t xml:space="preserve"> ra trong hồng cầu, glucose sẽ phản ứng với Hb tạo thành hemoglobin bị glycosyl hóa.</w:t>
      </w:r>
    </w:p>
    <w:p w:rsidR="00B10732" w:rsidRPr="00581499" w:rsidRDefault="00B10732" w:rsidP="00B10732">
      <w:pPr>
        <w:spacing w:before="120" w:after="0"/>
        <w:ind w:firstLine="567"/>
        <w:rPr>
          <w:rFonts w:eastAsia="Times"/>
          <w:sz w:val="28"/>
          <w:szCs w:val="28"/>
          <w:lang w:eastAsia="zh-CN"/>
        </w:rPr>
      </w:pPr>
      <w:r w:rsidRPr="008B25B4">
        <w:rPr>
          <w:rFonts w:eastAsia="Times"/>
          <w:sz w:val="28"/>
          <w:szCs w:val="28"/>
          <w:lang w:val="es-ES" w:eastAsia="zh-CN"/>
        </w:rPr>
        <w:t xml:space="preserve">Trong hồng cầu có 3 loại Hb: HbA1 chiếm 97- 99%, HbA2 chiếm 1- 3%, HbF ở bào thai khi sinh ra chỉ còn vết. </w:t>
      </w:r>
      <w:r w:rsidRPr="00581499">
        <w:rPr>
          <w:rFonts w:eastAsia="Times"/>
          <w:sz w:val="28"/>
          <w:szCs w:val="28"/>
          <w:lang w:eastAsia="zh-CN"/>
        </w:rPr>
        <w:t>HbA1 có 3 nhóm HbA1a, HbA1b và HbA1c trong đó HbA1c chiếm 80%. Để biểu thị hemoglobin bị glycosyl hóa người ta định lượng phần HbA1c bị glycosyl hóa, gọi tắt là HbA1c, tính ra đơn vị %.</w:t>
      </w:r>
      <w:r w:rsidRPr="00581499">
        <w:rPr>
          <w:rFonts w:eastAsia="Times"/>
          <w:sz w:val="28"/>
          <w:szCs w:val="28"/>
          <w:lang w:eastAsia="zh-CN"/>
        </w:rPr>
        <w:br/>
        <w:t xml:space="preserve">Nồng độ HbA1c sẽ tương quan thuận với nồng độ glucose huyết tương trung bình trong vòng 6 đến 12 tuần trước đó. Vì vậy bằng cách định lượng HbA1c thầy thuốc có thể nhận định được nồng độ glucose máu trung bình trong vòng 2-4 tháng trước đó của bệnh nhân, cho phép đánh giá hiệu quả quá trình điều trị bệnh tiểu đường. </w:t>
      </w:r>
    </w:p>
    <w:p w:rsidR="00B10732" w:rsidRPr="00581499" w:rsidRDefault="00B10732" w:rsidP="00B10732">
      <w:pPr>
        <w:spacing w:before="120" w:after="0"/>
        <w:ind w:firstLine="567"/>
        <w:rPr>
          <w:rFonts w:eastAsia="Times"/>
          <w:sz w:val="28"/>
          <w:szCs w:val="28"/>
        </w:rPr>
      </w:pPr>
      <w:r w:rsidRPr="00581499">
        <w:rPr>
          <w:rFonts w:eastAsia="Times"/>
          <w:sz w:val="28"/>
          <w:szCs w:val="28"/>
          <w:lang w:eastAsia="zh-CN"/>
        </w:rPr>
        <w:lastRenderedPageBreak/>
        <w:t>Một số phương pháp được sử dụng để đo lượng liên kết huyết sắc tố với glucose, gồm: điện di, sắc ký và xét nghiệm miễn dịch. Các phương pháp đều dựa trên sự phân tách của huyết sắc tố liên kết với glucose, sau đó không còn glucose.</w:t>
      </w:r>
    </w:p>
    <w:p w:rsidR="00B10732" w:rsidRPr="00581499" w:rsidRDefault="00B10732" w:rsidP="00B10732">
      <w:pPr>
        <w:spacing w:before="120" w:after="0"/>
        <w:ind w:firstLine="567"/>
        <w:rPr>
          <w:rFonts w:eastAsia="Times"/>
          <w:sz w:val="28"/>
          <w:szCs w:val="28"/>
        </w:rPr>
      </w:pPr>
      <w:r w:rsidRPr="00581499">
        <w:rPr>
          <w:rFonts w:eastAsia="Times"/>
          <w:sz w:val="28"/>
          <w:szCs w:val="28"/>
          <w:lang w:eastAsia="zh-CN"/>
        </w:rPr>
        <w:t>ADA khuyến cáo huyết sắc tố glycosyl hóa thực hiện trong lần đánh giá về bệnh đái tháo đường đầu tiên của một người. huyết sắc tố glycosyl hóa lần tiếp theo khi điều trị và đường huyết đã ổn định, sau đó lặp lại ít nhất nửa năm một lần. Nếu người không đạt được mục tiêu điều trị hoặc mức độ đường huyết không ổn định, kiểm tra nên được lặp lại hàng quý.</w:t>
      </w:r>
    </w:p>
    <w:p w:rsidR="00B10732" w:rsidRPr="00581499" w:rsidRDefault="00B10732" w:rsidP="00B10732">
      <w:pPr>
        <w:spacing w:before="120" w:after="0"/>
        <w:ind w:firstLine="567"/>
        <w:rPr>
          <w:rFonts w:eastAsia="Times"/>
          <w:sz w:val="28"/>
          <w:szCs w:val="28"/>
        </w:rPr>
      </w:pPr>
      <w:r w:rsidRPr="00581499">
        <w:rPr>
          <w:rFonts w:eastAsia="Times"/>
          <w:sz w:val="28"/>
          <w:szCs w:val="28"/>
          <w:lang w:eastAsia="zh-CN"/>
        </w:rPr>
        <w:t>Tên gọi khác của xét nghiệm bao gồm: Hemoglobin A1c, HbA1c, Chỉ số kiểm soát bệnh đái tháo đường, GHb, Glycosylated hemoglobin, Gglycated hemoglobin. Kết quả thường sẽ có trong ngày hôm sau.</w:t>
      </w:r>
    </w:p>
    <w:p w:rsidR="00B10732" w:rsidRPr="00581499" w:rsidRDefault="00B10732" w:rsidP="00B10732">
      <w:pPr>
        <w:spacing w:before="120" w:after="0"/>
        <w:ind w:firstLine="567"/>
        <w:rPr>
          <w:rFonts w:eastAsia="Times"/>
          <w:sz w:val="28"/>
          <w:szCs w:val="28"/>
          <w:lang w:eastAsia="zh-CN"/>
        </w:rPr>
      </w:pPr>
      <w:r w:rsidRPr="00581499">
        <w:rPr>
          <w:rFonts w:eastAsia="Calibri"/>
          <w:b/>
          <w:bCs/>
          <w:iCs/>
          <w:sz w:val="28"/>
          <w:szCs w:val="28"/>
        </w:rPr>
        <w:t>Chuẩn bị:</w:t>
      </w:r>
      <w:r w:rsidRPr="00581499">
        <w:rPr>
          <w:rFonts w:eastAsia="Times"/>
          <w:sz w:val="28"/>
          <w:szCs w:val="28"/>
          <w:lang w:eastAsia="zh-CN"/>
        </w:rPr>
        <w:t xml:space="preserve">  Không cần phải nhịn ăn trước xét nghiệm này. Nhân viên y tế garo phía trên cánh tay; xác định vị trí tĩnh mạch ở nếp gấp khuỷu tay; đưa kim vào trong tĩnh mạch; hút chân không rút máu qua kim vào ống. Việc lấy mẫu máu xét nghiệm chỉ mất một vài phút. Xét nghiệm này cần 5 ml máu. Mặc dù có thể xét nghiệm HbA1C tại nhà, nhưng chỉ nên được thực hiện dưới hướng dẫn của bác sĩ.</w:t>
      </w:r>
    </w:p>
    <w:p w:rsidR="00B10732" w:rsidRPr="00581499" w:rsidRDefault="00B10732" w:rsidP="00B10732">
      <w:pPr>
        <w:spacing w:before="120" w:after="0"/>
        <w:ind w:firstLine="567"/>
        <w:rPr>
          <w:rFonts w:eastAsia="Times"/>
          <w:sz w:val="28"/>
          <w:szCs w:val="28"/>
          <w:lang w:eastAsia="zh-CN"/>
        </w:rPr>
      </w:pPr>
      <w:r w:rsidRPr="00581499">
        <w:rPr>
          <w:rFonts w:eastAsia="Calibri"/>
          <w:b/>
          <w:sz w:val="28"/>
          <w:szCs w:val="28"/>
        </w:rPr>
        <w:t>Kết quả:</w:t>
      </w:r>
      <w:r w:rsidRPr="00581499">
        <w:rPr>
          <w:rFonts w:eastAsia="Times"/>
          <w:sz w:val="28"/>
          <w:szCs w:val="28"/>
          <w:lang w:eastAsia="zh-CN"/>
        </w:rPr>
        <w:t xml:space="preserve">  Chỉ số HbA1C bình thường là dưới 5,7%. Từ 5.7% đến 6.4%: tiền đái tháo đường. Từ 6.5% trở lên: bệnh đái tháo đường. Điều trị đái tháo đường nên đạt được nồng độ HbA1C dưới 7,0%. </w:t>
      </w:r>
    </w:p>
    <w:p w:rsidR="00B10732" w:rsidRPr="00581499" w:rsidRDefault="00B10732" w:rsidP="00B10732">
      <w:pPr>
        <w:spacing w:after="0"/>
        <w:ind w:firstLine="567"/>
        <w:rPr>
          <w:rFonts w:eastAsia="Times"/>
          <w:bCs/>
          <w:i/>
          <w:iCs/>
          <w:sz w:val="28"/>
          <w:szCs w:val="28"/>
          <w:lang w:eastAsia="zh-CN"/>
        </w:rPr>
      </w:pPr>
      <w:r w:rsidRPr="00581499">
        <w:rPr>
          <w:rFonts w:eastAsia="Times"/>
          <w:sz w:val="28"/>
          <w:szCs w:val="28"/>
          <w:lang w:eastAsia="zh-CN"/>
        </w:rPr>
        <w:t>Kết quả từ các phòng thí nghiệm khác nhau không phải lúc nào cũng có thể so sánh được, vì các phòng thí nghiệm sử dụng các phương pháp khác nhau. Chương trình tiêu chuẩn hóa Glycosyl hóa quốc gia (NGSP - National Glycosylation Standardization Program) cấp chứng nhận cho các phòng thí nghiệm sử dụng các xét nghiệm được chuẩn hóa so với các xét nghiệm sử dụng trong nghiên cứu về biến chứng và kiểm soát đái tháo đường.</w:t>
      </w:r>
    </w:p>
    <w:p w:rsidR="00B10732" w:rsidRPr="00581499" w:rsidRDefault="00B10732" w:rsidP="00B10732">
      <w:pPr>
        <w:spacing w:after="0"/>
        <w:ind w:firstLine="567"/>
        <w:rPr>
          <w:rFonts w:eastAsia="Times"/>
          <w:sz w:val="28"/>
          <w:szCs w:val="28"/>
        </w:rPr>
      </w:pPr>
      <w:r w:rsidRPr="00581499">
        <w:rPr>
          <w:rFonts w:eastAsia="Times"/>
          <w:b/>
          <w:bCs/>
          <w:iCs/>
          <w:sz w:val="28"/>
          <w:szCs w:val="28"/>
          <w:lang w:eastAsia="zh-CN"/>
        </w:rPr>
        <w:t>Bất thường:</w:t>
      </w:r>
      <w:r w:rsidRPr="00581499">
        <w:rPr>
          <w:rFonts w:eastAsia="Times"/>
          <w:sz w:val="28"/>
          <w:szCs w:val="28"/>
          <w:lang w:eastAsia="zh-CN"/>
        </w:rPr>
        <w:t xml:space="preserve"> kết quả yêu cầu sự giải thích của bác sĩ với hiểu biết về tình trạng lâm sàng của người được làm xét nghiệm, cũng như phương pháp được sử dụng </w:t>
      </w:r>
      <w:r w:rsidRPr="00581499">
        <w:rPr>
          <w:rFonts w:eastAsia="Times"/>
          <w:sz w:val="28"/>
          <w:szCs w:val="28"/>
          <w:lang w:eastAsia="zh-CN"/>
        </w:rPr>
        <w:lastRenderedPageBreak/>
        <w:t>trong xét nghiệm. Một số phương pháp cho sai số cao hoặc độ chính xác thấp nếu người đó có huyết sắc tố bất thường, chẳng hạn như huyết sắc tố S hoặc F.</w:t>
      </w:r>
    </w:p>
    <w:p w:rsidR="00B10732" w:rsidRPr="00581499" w:rsidRDefault="00B10732" w:rsidP="00B10732">
      <w:pPr>
        <w:spacing w:before="120" w:after="0"/>
        <w:ind w:firstLine="567"/>
        <w:rPr>
          <w:rFonts w:eastAsia="Times"/>
          <w:sz w:val="28"/>
          <w:szCs w:val="28"/>
          <w:lang w:eastAsia="zh-CN"/>
        </w:rPr>
      </w:pPr>
      <w:r w:rsidRPr="00581499">
        <w:rPr>
          <w:rFonts w:eastAsia="Times"/>
          <w:sz w:val="28"/>
          <w:szCs w:val="28"/>
          <w:lang w:eastAsia="zh-CN"/>
        </w:rPr>
        <w:t>Một số tình trạng làm tăng tuổi thọ của tế bào hồng cầu, chẳng hạn như cắt lách, làm tăng HbA1C. Tình trạng làm giảm tuổi thọ, chẳng hạn như tan máu (vỡ hồng cầu), làm giảm HbA1C.</w:t>
      </w:r>
    </w:p>
    <w:p w:rsidR="00B10732" w:rsidRPr="00581499" w:rsidRDefault="00B10732" w:rsidP="00B10732">
      <w:pPr>
        <w:spacing w:before="120" w:after="0" w:line="276" w:lineRule="auto"/>
        <w:ind w:firstLine="567"/>
        <w:contextualSpacing/>
        <w:jc w:val="right"/>
        <w:rPr>
          <w:b/>
          <w:sz w:val="20"/>
          <w:szCs w:val="20"/>
          <w:lang w:val="vi-VN"/>
        </w:rPr>
      </w:pPr>
      <w:r w:rsidRPr="00581499">
        <w:rPr>
          <w:b/>
          <w:sz w:val="20"/>
          <w:szCs w:val="20"/>
          <w:lang w:val="vi-VN"/>
        </w:rPr>
        <w:t>NGUYỄN MINH NÚI</w:t>
      </w:r>
    </w:p>
    <w:p w:rsidR="00B10732" w:rsidRPr="00581499" w:rsidRDefault="00B10732" w:rsidP="00B10732">
      <w:pPr>
        <w:spacing w:before="120" w:after="0" w:line="276" w:lineRule="auto"/>
        <w:ind w:firstLine="0"/>
        <w:rPr>
          <w:rFonts w:eastAsia="Calibri"/>
          <w:b/>
        </w:rPr>
      </w:pPr>
      <w:r w:rsidRPr="00581499">
        <w:rPr>
          <w:rFonts w:eastAsia="Calibri"/>
          <w:b/>
        </w:rPr>
        <w:t>Tài liệu tham khảo</w:t>
      </w:r>
    </w:p>
    <w:p w:rsidR="00B10732" w:rsidRPr="00581499" w:rsidRDefault="00B10732" w:rsidP="00B10732">
      <w:pPr>
        <w:spacing w:before="120" w:after="0" w:line="276" w:lineRule="auto"/>
        <w:ind w:firstLine="0"/>
        <w:rPr>
          <w:rFonts w:eastAsia="Calibri"/>
        </w:rPr>
      </w:pPr>
      <w:r w:rsidRPr="00581499">
        <w:rPr>
          <w:rFonts w:eastAsia="Calibri"/>
        </w:rPr>
        <w:t>1. American Diabetes Association, 1701 North Beauregard Street, Alexandria, VA, 22311, (800) 342-2383, Ask ADA@diabetes.org, http://www.diabetes.org.</w:t>
      </w:r>
    </w:p>
    <w:p w:rsidR="00B10732" w:rsidRPr="00581499" w:rsidRDefault="00B10732" w:rsidP="00B10732">
      <w:pPr>
        <w:spacing w:before="120" w:after="0" w:line="276" w:lineRule="auto"/>
        <w:ind w:firstLine="0"/>
        <w:rPr>
          <w:rFonts w:eastAsia="Calibri"/>
        </w:rPr>
      </w:pPr>
      <w:r w:rsidRPr="00581499">
        <w:rPr>
          <w:rFonts w:eastAsia="Calibri"/>
        </w:rPr>
        <w:t>2. Centers for Disease Control and Prevention (CDC), 1600 Clifton Road, Atlanta, GA, 30333, (800) 232-4636, cdcinfo@cdc.gov, http://www.cdc.gov</w:t>
      </w:r>
    </w:p>
    <w:p w:rsidR="00B10732" w:rsidRPr="00581499" w:rsidRDefault="00B10732" w:rsidP="00B10732"/>
    <w:p w:rsidR="000B6BAA" w:rsidRPr="00B10732" w:rsidRDefault="000B6BAA" w:rsidP="00B10732">
      <w:pPr>
        <w:ind w:firstLine="0"/>
        <w:rPr>
          <w:rFonts w:eastAsia="Calibri"/>
        </w:rPr>
      </w:pPr>
    </w:p>
    <w:sectPr w:rsidR="000B6BAA" w:rsidRPr="00B10732"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6ADA"/>
    <w:multiLevelType w:val="hybridMultilevel"/>
    <w:tmpl w:val="CFB6275E"/>
    <w:lvl w:ilvl="0" w:tplc="BF883656">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408749DE"/>
    <w:multiLevelType w:val="hybridMultilevel"/>
    <w:tmpl w:val="C0C0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abstractNum w:abstractNumId="4" w15:restartNumberingAfterBreak="0">
    <w:nsid w:val="7C8F43C1"/>
    <w:multiLevelType w:val="hybridMultilevel"/>
    <w:tmpl w:val="9594D02A"/>
    <w:lvl w:ilvl="0" w:tplc="1E88A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00EA7"/>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21F09"/>
    <w:rsid w:val="00334693"/>
    <w:rsid w:val="0034219C"/>
    <w:rsid w:val="00351C42"/>
    <w:rsid w:val="00374CBE"/>
    <w:rsid w:val="00381949"/>
    <w:rsid w:val="00381E4A"/>
    <w:rsid w:val="003838FF"/>
    <w:rsid w:val="00391A26"/>
    <w:rsid w:val="003A3820"/>
    <w:rsid w:val="003C4B5A"/>
    <w:rsid w:val="0041721F"/>
    <w:rsid w:val="00417CE8"/>
    <w:rsid w:val="00421B3F"/>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A7617"/>
    <w:rsid w:val="005B22C3"/>
    <w:rsid w:val="005D59D5"/>
    <w:rsid w:val="00600DBD"/>
    <w:rsid w:val="0060249D"/>
    <w:rsid w:val="00607EE7"/>
    <w:rsid w:val="0062421E"/>
    <w:rsid w:val="00643571"/>
    <w:rsid w:val="00652E8A"/>
    <w:rsid w:val="00691048"/>
    <w:rsid w:val="00693761"/>
    <w:rsid w:val="006B6DD6"/>
    <w:rsid w:val="006C6214"/>
    <w:rsid w:val="006E1CD0"/>
    <w:rsid w:val="006E2834"/>
    <w:rsid w:val="00713B3B"/>
    <w:rsid w:val="00727150"/>
    <w:rsid w:val="007540B6"/>
    <w:rsid w:val="00765265"/>
    <w:rsid w:val="00767E28"/>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826E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10732"/>
    <w:rsid w:val="00B30FA1"/>
    <w:rsid w:val="00B44C50"/>
    <w:rsid w:val="00B55151"/>
    <w:rsid w:val="00B7534C"/>
    <w:rsid w:val="00B83CC3"/>
    <w:rsid w:val="00B85ADD"/>
    <w:rsid w:val="00B92741"/>
    <w:rsid w:val="00B97FA5"/>
    <w:rsid w:val="00BB1C53"/>
    <w:rsid w:val="00BD1BC1"/>
    <w:rsid w:val="00BD45AA"/>
    <w:rsid w:val="00BE6553"/>
    <w:rsid w:val="00BF4E16"/>
    <w:rsid w:val="00C05A6E"/>
    <w:rsid w:val="00C21851"/>
    <w:rsid w:val="00C24486"/>
    <w:rsid w:val="00C35B9F"/>
    <w:rsid w:val="00C45B3B"/>
    <w:rsid w:val="00C6032C"/>
    <w:rsid w:val="00C6320B"/>
    <w:rsid w:val="00C67146"/>
    <w:rsid w:val="00C77C7A"/>
    <w:rsid w:val="00CA24F5"/>
    <w:rsid w:val="00CA3FF4"/>
    <w:rsid w:val="00CA6C00"/>
    <w:rsid w:val="00CB1F02"/>
    <w:rsid w:val="00CC1D0E"/>
    <w:rsid w:val="00D01398"/>
    <w:rsid w:val="00D14647"/>
    <w:rsid w:val="00D23A76"/>
    <w:rsid w:val="00D55EB7"/>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206</cp:revision>
  <dcterms:created xsi:type="dcterms:W3CDTF">2025-11-24T04:30:00Z</dcterms:created>
  <dcterms:modified xsi:type="dcterms:W3CDTF">2025-12-10T02:03:00Z</dcterms:modified>
</cp:coreProperties>
</file>